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4F0BE5" w14:textId="4D35ECBE" w:rsidR="00344D60" w:rsidRPr="00B55935" w:rsidRDefault="00344D60" w:rsidP="00344D60">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#94-e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A0710E" w:rsidRPr="00A0710E">
        <w:rPr>
          <w:rFonts w:ascii="Calibri" w:eastAsia="新細明體" w:hAnsi="Calibri" w:cs="Arial"/>
          <w:noProof w:val="0"/>
          <w:sz w:val="24"/>
          <w:szCs w:val="24"/>
          <w:lang w:eastAsia="ja-JP"/>
        </w:rPr>
        <w:t>R4-2000457</w:t>
      </w:r>
    </w:p>
    <w:p w14:paraId="55881F51" w14:textId="77777777" w:rsidR="00344D60" w:rsidRDefault="00344D60" w:rsidP="00344D60">
      <w:pPr>
        <w:ind w:left="1985" w:hanging="1985"/>
        <w:rPr>
          <w:rFonts w:ascii="Calibri" w:eastAsia="新細明體" w:hAnsi="Calibri" w:cs="Arial"/>
          <w:b/>
          <w:sz w:val="24"/>
          <w:szCs w:val="24"/>
          <w:lang w:eastAsia="ja-JP"/>
        </w:rPr>
      </w:pPr>
      <w:r w:rsidRPr="001A2314">
        <w:rPr>
          <w:rFonts w:ascii="Calibri" w:eastAsia="新細明體" w:hAnsi="Calibri" w:cs="Arial"/>
          <w:b/>
          <w:sz w:val="24"/>
          <w:szCs w:val="24"/>
          <w:lang w:eastAsia="ja-JP"/>
        </w:rPr>
        <w:t>Electronic Meeting, 24 Feb. – 6 Mar., 2020</w:t>
      </w:r>
    </w:p>
    <w:p w14:paraId="0426E601" w14:textId="77777777" w:rsidR="002E58D2" w:rsidRPr="002F29E4" w:rsidRDefault="002E58D2" w:rsidP="002E58D2">
      <w:pPr>
        <w:pStyle w:val="Header"/>
        <w:rPr>
          <w:rFonts w:ascii="Calibri" w:eastAsia="新細明體" w:hAnsi="Calibri"/>
          <w:sz w:val="24"/>
          <w:highlight w:val="yellow"/>
          <w:lang w:eastAsia="zh-TW"/>
        </w:rPr>
      </w:pPr>
    </w:p>
    <w:p w14:paraId="6352570E" w14:textId="2580F5F4" w:rsidR="00FB1EA3" w:rsidRPr="00F52EE4" w:rsidRDefault="00FB1EA3" w:rsidP="00FB1EA3">
      <w:pPr>
        <w:ind w:left="1985" w:hanging="1985"/>
        <w:rPr>
          <w:rFonts w:cs="Arial"/>
          <w:b/>
          <w:bCs/>
        </w:rPr>
      </w:pPr>
      <w:r w:rsidRPr="00C57C45">
        <w:rPr>
          <w:rFonts w:cs="Arial"/>
          <w:b/>
          <w:bCs/>
        </w:rPr>
        <w:t>Agenda Item:</w:t>
      </w:r>
      <w:r w:rsidRPr="00C57C45">
        <w:rPr>
          <w:rFonts w:cs="Arial"/>
          <w:b/>
          <w:bCs/>
        </w:rPr>
        <w:tab/>
      </w:r>
      <w:r w:rsidR="006B0FC0" w:rsidRPr="006B0FC0">
        <w:rPr>
          <w:rFonts w:cs="Arial"/>
          <w:b/>
          <w:bCs/>
        </w:rPr>
        <w:t>8.13.2.1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1F6DD6C2" w:rsidR="00174EC2" w:rsidRDefault="0034111C" w:rsidP="007A4FCF">
      <w:pPr>
        <w:ind w:left="1985" w:hanging="1985"/>
        <w:rPr>
          <w:rFonts w:cs="Arial"/>
          <w:b/>
          <w:bCs/>
        </w:rPr>
      </w:pPr>
      <w:r w:rsidRPr="000C45FD">
        <w:rPr>
          <w:rFonts w:cs="Arial"/>
          <w:b/>
          <w:bCs/>
        </w:rPr>
        <w:t>Title:</w:t>
      </w:r>
      <w:r w:rsidRPr="000C45FD">
        <w:rPr>
          <w:rFonts w:cs="Arial"/>
          <w:b/>
          <w:bCs/>
        </w:rPr>
        <w:tab/>
      </w:r>
      <w:r w:rsidR="006B0FC0">
        <w:rPr>
          <w:rFonts w:cs="Arial"/>
          <w:b/>
          <w:bCs/>
        </w:rPr>
        <w:t>Interruption</w:t>
      </w:r>
      <w:r w:rsidR="006B0FC0" w:rsidRPr="006B0FC0">
        <w:rPr>
          <w:rFonts w:cs="Arial"/>
          <w:b/>
          <w:bCs/>
        </w:rPr>
        <w:t xml:space="preserve"> for Tx switching between two uplink carriers</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E7E7A98" w14:textId="775EB9D0" w:rsidR="00691A69" w:rsidRDefault="002A2ED1" w:rsidP="00BD754F">
      <w:pPr>
        <w:pStyle w:val="Default"/>
        <w:jc w:val="both"/>
        <w:rPr>
          <w:rFonts w:asciiTheme="minorHAnsi" w:eastAsiaTheme="minorEastAsia" w:hAnsiTheme="minorHAnsi" w:cstheme="minorBidi"/>
          <w:color w:val="auto"/>
          <w:sz w:val="22"/>
          <w:szCs w:val="22"/>
          <w:lang w:val="en-GB"/>
        </w:rPr>
      </w:pPr>
      <w:r>
        <w:rPr>
          <w:rFonts w:asciiTheme="minorHAnsi" w:eastAsiaTheme="minorEastAsia" w:hAnsiTheme="minorHAnsi" w:cstheme="minorBidi"/>
          <w:color w:val="auto"/>
          <w:sz w:val="22"/>
          <w:szCs w:val="22"/>
          <w:lang w:val="en-GB"/>
        </w:rPr>
        <w:t>In last meeting,</w:t>
      </w:r>
      <w:r w:rsidR="006B0FC0">
        <w:rPr>
          <w:rFonts w:asciiTheme="minorHAnsi" w:eastAsiaTheme="minorEastAsia" w:hAnsiTheme="minorHAnsi" w:cstheme="minorBidi"/>
          <w:color w:val="auto"/>
          <w:sz w:val="22"/>
          <w:szCs w:val="22"/>
          <w:lang w:val="en-GB"/>
        </w:rPr>
        <w:t xml:space="preserve"> whether to specify interruption due to Tx switching between 2 UL carriers was discussed. Only conclusions reached </w:t>
      </w:r>
      <w:r w:rsidR="00142E48">
        <w:rPr>
          <w:rFonts w:asciiTheme="minorHAnsi" w:eastAsiaTheme="minorEastAsia" w:hAnsiTheme="minorHAnsi" w:cstheme="minorBidi"/>
          <w:color w:val="auto"/>
          <w:sz w:val="22"/>
          <w:szCs w:val="22"/>
          <w:lang w:val="en-GB"/>
        </w:rPr>
        <w:t xml:space="preserve">on chairman’s note </w:t>
      </w:r>
      <w:r w:rsidR="006B0FC0">
        <w:rPr>
          <w:rFonts w:asciiTheme="minorHAnsi" w:eastAsiaTheme="minorEastAsia" w:hAnsiTheme="minorHAnsi" w:cstheme="minorBidi"/>
          <w:color w:val="auto"/>
          <w:sz w:val="22"/>
          <w:szCs w:val="22"/>
          <w:lang w:val="en-GB"/>
        </w:rPr>
        <w:t>were to further study the issue.</w:t>
      </w:r>
    </w:p>
    <w:tbl>
      <w:tblPr>
        <w:tblStyle w:val="TableGrid"/>
        <w:tblW w:w="0" w:type="auto"/>
        <w:tblLook w:val="04A0" w:firstRow="1" w:lastRow="0" w:firstColumn="1" w:lastColumn="0" w:noHBand="0" w:noVBand="1"/>
      </w:tblPr>
      <w:tblGrid>
        <w:gridCol w:w="9629"/>
      </w:tblGrid>
      <w:tr w:rsidR="006B0FC0" w14:paraId="100D7621" w14:textId="77777777" w:rsidTr="006B0FC0">
        <w:tc>
          <w:tcPr>
            <w:tcW w:w="9629" w:type="dxa"/>
          </w:tcPr>
          <w:p w14:paraId="02C0A964" w14:textId="77777777" w:rsidR="006B0FC0" w:rsidRPr="00142E48" w:rsidRDefault="006B0FC0" w:rsidP="006B0FC0">
            <w:pPr>
              <w:rPr>
                <w:sz w:val="20"/>
                <w:highlight w:val="green"/>
              </w:rPr>
            </w:pPr>
            <w:r w:rsidRPr="00142E48">
              <w:rPr>
                <w:sz w:val="20"/>
                <w:highlight w:val="green"/>
              </w:rPr>
              <w:t xml:space="preserve">Conclusion: </w:t>
            </w:r>
          </w:p>
          <w:p w14:paraId="342F1568" w14:textId="77777777" w:rsidR="006B0FC0" w:rsidRPr="00142E48" w:rsidRDefault="006B0FC0" w:rsidP="006B0FC0">
            <w:pPr>
              <w:pStyle w:val="ListParagraph"/>
              <w:numPr>
                <w:ilvl w:val="0"/>
                <w:numId w:val="20"/>
              </w:numPr>
              <w:spacing w:after="120" w:line="240" w:lineRule="auto"/>
              <w:contextualSpacing w:val="0"/>
              <w:rPr>
                <w:sz w:val="20"/>
                <w:highlight w:val="green"/>
              </w:rPr>
            </w:pPr>
            <w:r w:rsidRPr="00142E48">
              <w:rPr>
                <w:sz w:val="20"/>
                <w:highlight w:val="green"/>
              </w:rPr>
              <w:t>Further study if interruption requirements shall be defined</w:t>
            </w:r>
          </w:p>
          <w:p w14:paraId="7299C452" w14:textId="0F0D5EBF" w:rsidR="006B0FC0" w:rsidRDefault="006B0FC0" w:rsidP="006B0FC0">
            <w:pPr>
              <w:pStyle w:val="ListParagraph"/>
              <w:numPr>
                <w:ilvl w:val="0"/>
                <w:numId w:val="20"/>
              </w:numPr>
              <w:spacing w:after="120" w:line="240" w:lineRule="auto"/>
              <w:contextualSpacing w:val="0"/>
            </w:pPr>
            <w:r w:rsidRPr="00142E48">
              <w:rPr>
                <w:sz w:val="20"/>
                <w:highlight w:val="green"/>
              </w:rPr>
              <w:t>Companies to bring analysis on the expected interruption length</w:t>
            </w:r>
          </w:p>
        </w:tc>
      </w:tr>
    </w:tbl>
    <w:p w14:paraId="116C6386" w14:textId="77777777" w:rsidR="006B0FC0" w:rsidRDefault="006B0FC0" w:rsidP="00BD754F">
      <w:pPr>
        <w:pStyle w:val="Default"/>
        <w:jc w:val="both"/>
        <w:rPr>
          <w:rFonts w:asciiTheme="minorHAnsi" w:eastAsiaTheme="minorEastAsia" w:hAnsiTheme="minorHAnsi" w:cstheme="minorBidi"/>
          <w:color w:val="auto"/>
          <w:sz w:val="22"/>
          <w:szCs w:val="22"/>
        </w:rPr>
      </w:pPr>
    </w:p>
    <w:p w14:paraId="338DF2C1" w14:textId="0ECCCB8D" w:rsidR="006B0FC0" w:rsidRDefault="003308CF"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Same time, a</w:t>
      </w:r>
      <w:r w:rsidR="00142E48">
        <w:rPr>
          <w:rFonts w:asciiTheme="minorHAnsi" w:eastAsiaTheme="minorEastAsia" w:hAnsiTheme="minorHAnsi" w:cstheme="minorBidi"/>
          <w:color w:val="auto"/>
          <w:sz w:val="22"/>
          <w:szCs w:val="22"/>
        </w:rPr>
        <w:t xml:space="preserve"> WF [1] </w:t>
      </w:r>
      <w:r w:rsidR="006B0FC0">
        <w:rPr>
          <w:rFonts w:asciiTheme="minorHAnsi" w:eastAsiaTheme="minorEastAsia" w:hAnsiTheme="minorHAnsi" w:cstheme="minorBidi"/>
          <w:color w:val="auto"/>
          <w:sz w:val="22"/>
          <w:szCs w:val="22"/>
        </w:rPr>
        <w:t>was agreed in RF session about DL interruption.</w:t>
      </w:r>
    </w:p>
    <w:tbl>
      <w:tblPr>
        <w:tblStyle w:val="TableGrid"/>
        <w:tblW w:w="0" w:type="auto"/>
        <w:tblLook w:val="04A0" w:firstRow="1" w:lastRow="0" w:firstColumn="1" w:lastColumn="0" w:noHBand="0" w:noVBand="1"/>
      </w:tblPr>
      <w:tblGrid>
        <w:gridCol w:w="9629"/>
      </w:tblGrid>
      <w:tr w:rsidR="006B0FC0" w14:paraId="6CC4EA18" w14:textId="77777777" w:rsidTr="006B0FC0">
        <w:tc>
          <w:tcPr>
            <w:tcW w:w="9629" w:type="dxa"/>
          </w:tcPr>
          <w:p w14:paraId="5429FCE5" w14:textId="77777777" w:rsidR="006B0FC0" w:rsidRPr="006B0FC0" w:rsidRDefault="006B0FC0" w:rsidP="006B0FC0">
            <w:pPr>
              <w:pStyle w:val="Default"/>
              <w:numPr>
                <w:ilvl w:val="0"/>
                <w:numId w:val="21"/>
              </w:numPr>
              <w:jc w:val="both"/>
              <w:rPr>
                <w:rFonts w:asciiTheme="minorHAnsi" w:eastAsiaTheme="minorEastAsia" w:hAnsiTheme="minorHAnsi" w:cstheme="minorBidi"/>
                <w:color w:val="auto"/>
                <w:sz w:val="20"/>
                <w:szCs w:val="22"/>
              </w:rPr>
            </w:pPr>
            <w:r w:rsidRPr="006B0FC0">
              <w:rPr>
                <w:rFonts w:asciiTheme="minorHAnsi" w:eastAsiaTheme="minorEastAsia" w:hAnsiTheme="minorHAnsi" w:cstheme="minorBidi"/>
                <w:color w:val="auto"/>
                <w:sz w:val="20"/>
                <w:szCs w:val="22"/>
              </w:rPr>
              <w:t xml:space="preserve">Option A: Define different capabilities for UEs with and without DL reception interruption </w:t>
            </w:r>
          </w:p>
          <w:p w14:paraId="69D7CEA1" w14:textId="77777777" w:rsidR="006B0FC0" w:rsidRPr="006B0FC0" w:rsidRDefault="006B0FC0" w:rsidP="006B0FC0">
            <w:pPr>
              <w:pStyle w:val="Default"/>
              <w:numPr>
                <w:ilvl w:val="1"/>
                <w:numId w:val="21"/>
              </w:numPr>
              <w:jc w:val="both"/>
              <w:rPr>
                <w:rFonts w:asciiTheme="minorHAnsi" w:eastAsiaTheme="minorEastAsia" w:hAnsiTheme="minorHAnsi" w:cstheme="minorBidi"/>
                <w:color w:val="auto"/>
                <w:sz w:val="20"/>
                <w:szCs w:val="22"/>
              </w:rPr>
            </w:pPr>
            <w:r w:rsidRPr="006B0FC0">
              <w:rPr>
                <w:rFonts w:asciiTheme="minorHAnsi" w:eastAsiaTheme="minorEastAsia" w:hAnsiTheme="minorHAnsi" w:cstheme="minorBidi"/>
                <w:color w:val="auto"/>
                <w:sz w:val="20"/>
                <w:szCs w:val="22"/>
              </w:rPr>
              <w:t>If UE does not report this capability, it means there is no DL reception interruption.</w:t>
            </w:r>
          </w:p>
          <w:p w14:paraId="171EF6D8" w14:textId="77777777" w:rsidR="006B0FC0" w:rsidRPr="006B0FC0" w:rsidRDefault="006B0FC0" w:rsidP="006B0FC0">
            <w:pPr>
              <w:pStyle w:val="Default"/>
              <w:numPr>
                <w:ilvl w:val="0"/>
                <w:numId w:val="21"/>
              </w:numPr>
              <w:jc w:val="both"/>
              <w:rPr>
                <w:rFonts w:asciiTheme="minorHAnsi" w:eastAsiaTheme="minorEastAsia" w:hAnsiTheme="minorHAnsi" w:cstheme="minorBidi"/>
                <w:color w:val="auto"/>
                <w:sz w:val="20"/>
                <w:szCs w:val="22"/>
              </w:rPr>
            </w:pPr>
            <w:r w:rsidRPr="006B0FC0">
              <w:rPr>
                <w:rFonts w:asciiTheme="minorHAnsi" w:eastAsiaTheme="minorEastAsia" w:hAnsiTheme="minorHAnsi" w:cstheme="minorBidi"/>
                <w:color w:val="auto"/>
                <w:sz w:val="20"/>
                <w:szCs w:val="22"/>
              </w:rPr>
              <w:t xml:space="preserve">Option B: DL reception interruption is not allowed. </w:t>
            </w:r>
          </w:p>
          <w:p w14:paraId="19F075B7" w14:textId="77777777" w:rsidR="006B0FC0" w:rsidRPr="006B0FC0" w:rsidRDefault="006B0FC0" w:rsidP="006B0FC0">
            <w:pPr>
              <w:pStyle w:val="Default"/>
              <w:numPr>
                <w:ilvl w:val="0"/>
                <w:numId w:val="21"/>
              </w:numPr>
              <w:jc w:val="both"/>
              <w:rPr>
                <w:rFonts w:asciiTheme="minorHAnsi" w:eastAsiaTheme="minorEastAsia" w:hAnsiTheme="minorHAnsi" w:cstheme="minorBidi"/>
                <w:color w:val="auto"/>
                <w:sz w:val="20"/>
                <w:szCs w:val="22"/>
              </w:rPr>
            </w:pPr>
            <w:r w:rsidRPr="006B0FC0">
              <w:rPr>
                <w:rFonts w:asciiTheme="minorHAnsi" w:eastAsiaTheme="minorEastAsia" w:hAnsiTheme="minorHAnsi" w:cstheme="minorBidi"/>
                <w:color w:val="auto"/>
                <w:sz w:val="20"/>
                <w:szCs w:val="22"/>
              </w:rPr>
              <w:t>Option C:</w:t>
            </w:r>
          </w:p>
          <w:p w14:paraId="38E0BEA1" w14:textId="77777777" w:rsidR="006B0FC0" w:rsidRPr="006B0FC0" w:rsidRDefault="006B0FC0" w:rsidP="006B0FC0">
            <w:pPr>
              <w:pStyle w:val="Default"/>
              <w:numPr>
                <w:ilvl w:val="1"/>
                <w:numId w:val="21"/>
              </w:numPr>
              <w:jc w:val="both"/>
              <w:rPr>
                <w:rFonts w:asciiTheme="minorHAnsi" w:eastAsiaTheme="minorEastAsia" w:hAnsiTheme="minorHAnsi" w:cstheme="minorBidi"/>
                <w:color w:val="auto"/>
                <w:sz w:val="20"/>
                <w:szCs w:val="22"/>
              </w:rPr>
            </w:pPr>
            <w:r w:rsidRPr="006B0FC0">
              <w:rPr>
                <w:rFonts w:asciiTheme="minorHAnsi" w:eastAsiaTheme="minorEastAsia" w:hAnsiTheme="minorHAnsi" w:cstheme="minorBidi"/>
                <w:color w:val="auto"/>
                <w:sz w:val="20"/>
                <w:szCs w:val="22"/>
              </w:rPr>
              <w:t>No DL reception interruption for the following duplex mode combinations: (carrier 1 + carrier 2)</w:t>
            </w:r>
          </w:p>
          <w:p w14:paraId="20FDF577" w14:textId="77777777" w:rsidR="006B0FC0" w:rsidRPr="006B0FC0" w:rsidRDefault="006B0FC0" w:rsidP="006B0FC0">
            <w:pPr>
              <w:pStyle w:val="Default"/>
              <w:numPr>
                <w:ilvl w:val="2"/>
                <w:numId w:val="21"/>
              </w:numPr>
              <w:jc w:val="both"/>
              <w:rPr>
                <w:rFonts w:asciiTheme="minorHAnsi" w:eastAsiaTheme="minorEastAsia" w:hAnsiTheme="minorHAnsi" w:cstheme="minorBidi"/>
                <w:color w:val="auto"/>
                <w:sz w:val="20"/>
                <w:szCs w:val="22"/>
              </w:rPr>
            </w:pPr>
            <w:r w:rsidRPr="006B0FC0">
              <w:rPr>
                <w:rFonts w:asciiTheme="minorHAnsi" w:eastAsiaTheme="minorEastAsia" w:hAnsiTheme="minorHAnsi" w:cstheme="minorBidi"/>
                <w:color w:val="auto"/>
                <w:sz w:val="20"/>
                <w:szCs w:val="22"/>
              </w:rPr>
              <w:t>SUL+TDD</w:t>
            </w:r>
          </w:p>
          <w:p w14:paraId="49BE9AF0" w14:textId="77777777" w:rsidR="006B0FC0" w:rsidRPr="006B0FC0" w:rsidRDefault="006B0FC0" w:rsidP="006B0FC0">
            <w:pPr>
              <w:pStyle w:val="Default"/>
              <w:numPr>
                <w:ilvl w:val="2"/>
                <w:numId w:val="21"/>
              </w:numPr>
              <w:jc w:val="both"/>
              <w:rPr>
                <w:rFonts w:asciiTheme="minorHAnsi" w:eastAsiaTheme="minorEastAsia" w:hAnsiTheme="minorHAnsi" w:cstheme="minorBidi"/>
                <w:color w:val="auto"/>
                <w:sz w:val="20"/>
                <w:szCs w:val="22"/>
              </w:rPr>
            </w:pPr>
            <w:r w:rsidRPr="006B0FC0">
              <w:rPr>
                <w:rFonts w:asciiTheme="minorHAnsi" w:eastAsiaTheme="minorEastAsia" w:hAnsiTheme="minorHAnsi" w:cstheme="minorBidi"/>
                <w:color w:val="auto"/>
                <w:sz w:val="20"/>
                <w:szCs w:val="22"/>
              </w:rPr>
              <w:t>FDD+TDD</w:t>
            </w:r>
          </w:p>
          <w:p w14:paraId="304AD8AF" w14:textId="77777777" w:rsidR="006B0FC0" w:rsidRPr="006B0FC0" w:rsidRDefault="006B0FC0" w:rsidP="006B0FC0">
            <w:pPr>
              <w:pStyle w:val="Default"/>
              <w:numPr>
                <w:ilvl w:val="2"/>
                <w:numId w:val="21"/>
              </w:numPr>
              <w:jc w:val="both"/>
              <w:rPr>
                <w:rFonts w:asciiTheme="minorHAnsi" w:eastAsiaTheme="minorEastAsia" w:hAnsiTheme="minorHAnsi" w:cstheme="minorBidi"/>
                <w:color w:val="auto"/>
                <w:sz w:val="20"/>
                <w:szCs w:val="22"/>
              </w:rPr>
            </w:pPr>
            <w:r w:rsidRPr="006B0FC0">
              <w:rPr>
                <w:rFonts w:asciiTheme="minorHAnsi" w:eastAsiaTheme="minorEastAsia" w:hAnsiTheme="minorHAnsi" w:cstheme="minorBidi"/>
                <w:color w:val="auto"/>
                <w:sz w:val="20"/>
                <w:szCs w:val="22"/>
              </w:rPr>
              <w:t>TDD+TDD with synchronous UL-DL configurations the same UL-DL pattern</w:t>
            </w:r>
          </w:p>
          <w:p w14:paraId="42676FD7" w14:textId="77777777" w:rsidR="006B0FC0" w:rsidRPr="006B0FC0" w:rsidRDefault="006B0FC0" w:rsidP="006B0FC0">
            <w:pPr>
              <w:pStyle w:val="Default"/>
              <w:numPr>
                <w:ilvl w:val="1"/>
                <w:numId w:val="21"/>
              </w:numPr>
              <w:jc w:val="both"/>
              <w:rPr>
                <w:rFonts w:asciiTheme="minorHAnsi" w:eastAsiaTheme="minorEastAsia" w:hAnsiTheme="minorHAnsi" w:cstheme="minorBidi"/>
                <w:color w:val="auto"/>
                <w:sz w:val="20"/>
                <w:szCs w:val="22"/>
              </w:rPr>
            </w:pPr>
            <w:r w:rsidRPr="006B0FC0">
              <w:rPr>
                <w:rFonts w:asciiTheme="minorHAnsi" w:eastAsiaTheme="minorEastAsia" w:hAnsiTheme="minorHAnsi" w:cstheme="minorBidi"/>
                <w:color w:val="auto"/>
                <w:sz w:val="20"/>
                <w:szCs w:val="22"/>
              </w:rPr>
              <w:t>Other duplex mode combinations: allowed for one or two DL carriers based on UE capability reporting</w:t>
            </w:r>
          </w:p>
          <w:p w14:paraId="00879753" w14:textId="153A62C6" w:rsidR="006B0FC0" w:rsidRDefault="006B0FC0" w:rsidP="006B0FC0">
            <w:pPr>
              <w:pStyle w:val="Default"/>
              <w:numPr>
                <w:ilvl w:val="0"/>
                <w:numId w:val="21"/>
              </w:numPr>
              <w:jc w:val="both"/>
              <w:rPr>
                <w:rFonts w:asciiTheme="minorHAnsi" w:eastAsiaTheme="minorEastAsia" w:hAnsiTheme="minorHAnsi" w:cstheme="minorBidi"/>
                <w:color w:val="auto"/>
                <w:sz w:val="22"/>
                <w:szCs w:val="22"/>
              </w:rPr>
            </w:pPr>
            <w:r w:rsidRPr="00142E48">
              <w:rPr>
                <w:rFonts w:asciiTheme="minorHAnsi" w:eastAsiaTheme="minorEastAsia" w:hAnsiTheme="minorHAnsi" w:cstheme="minorBidi"/>
                <w:color w:val="auto"/>
                <w:sz w:val="20"/>
                <w:szCs w:val="22"/>
              </w:rPr>
              <w:t>Send LS to RAN1 and ask RAN1’s feedback on RAN1 spec impact if there is DL reception interruption in some scenarios.</w:t>
            </w:r>
          </w:p>
        </w:tc>
      </w:tr>
    </w:tbl>
    <w:p w14:paraId="2AB6A491" w14:textId="77777777" w:rsidR="006B0FC0" w:rsidRDefault="006B0FC0" w:rsidP="00BD754F">
      <w:pPr>
        <w:pStyle w:val="Default"/>
        <w:jc w:val="both"/>
        <w:rPr>
          <w:rFonts w:asciiTheme="minorHAnsi" w:eastAsiaTheme="minorEastAsia" w:hAnsiTheme="minorHAnsi" w:cstheme="minorBidi"/>
          <w:color w:val="auto"/>
          <w:sz w:val="22"/>
          <w:szCs w:val="22"/>
        </w:rPr>
      </w:pPr>
    </w:p>
    <w:p w14:paraId="0EF88D8C" w14:textId="6472B3B0" w:rsidR="006B0FC0" w:rsidRPr="00842EE0" w:rsidRDefault="003308CF"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In this paper, we provide our view on this issue.</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21804B91" w14:textId="77777777" w:rsidR="003308CF" w:rsidRDefault="003308CF" w:rsidP="003308CF">
      <w:pPr>
        <w:pStyle w:val="Caption"/>
        <w:jc w:val="both"/>
        <w:rPr>
          <w:b w:val="0"/>
          <w:sz w:val="22"/>
          <w:szCs w:val="22"/>
          <w:lang w:val="en-US" w:eastAsia="zh-CN"/>
        </w:rPr>
      </w:pPr>
      <w:r w:rsidRPr="003308CF">
        <w:rPr>
          <w:b w:val="0"/>
          <w:sz w:val="22"/>
          <w:szCs w:val="22"/>
          <w:lang w:val="en-US" w:eastAsia="zh-CN"/>
        </w:rPr>
        <w:t xml:space="preserve">In our view, </w:t>
      </w:r>
      <w:r>
        <w:rPr>
          <w:b w:val="0"/>
          <w:sz w:val="22"/>
          <w:szCs w:val="22"/>
          <w:lang w:val="en-US" w:eastAsia="zh-CN"/>
        </w:rPr>
        <w:t>interruption will occur when UE is performing carrier switch. Optimization is possible to minimize the interruption for certain band combinations. However, concerning implementation cost, it is not easy to do this optimization for all band combinations. Therefore, we should consider interruption as the baseline, while allowing UE to optimize and inform network through capabilities. Anyhow, this is the discussion belonging to RF session. RRM session should wait for the conclusion of RF session.</w:t>
      </w:r>
    </w:p>
    <w:p w14:paraId="4FE87364" w14:textId="239FB4D9" w:rsidR="00B36FF1" w:rsidRPr="00B36FF1" w:rsidRDefault="003308CF" w:rsidP="00B36FF1">
      <w:pPr>
        <w:pStyle w:val="Caption"/>
        <w:jc w:val="both"/>
        <w:rPr>
          <w:lang w:val="en-US"/>
        </w:rPr>
      </w:pPr>
      <w:bookmarkStart w:id="0" w:name="_Ref31123839"/>
      <w:r>
        <w:t xml:space="preserve">Observation </w:t>
      </w:r>
      <w:r w:rsidR="008E2EE9">
        <w:rPr>
          <w:noProof/>
        </w:rPr>
        <w:fldChar w:fldCharType="begin"/>
      </w:r>
      <w:r w:rsidR="008E2EE9">
        <w:rPr>
          <w:noProof/>
        </w:rPr>
        <w:instrText xml:space="preserve"> SEQ Observation \* ARABIC </w:instrText>
      </w:r>
      <w:r w:rsidR="008E2EE9">
        <w:rPr>
          <w:noProof/>
        </w:rPr>
        <w:fldChar w:fldCharType="separate"/>
      </w:r>
      <w:r w:rsidR="001B3AA9">
        <w:rPr>
          <w:noProof/>
        </w:rPr>
        <w:t>1</w:t>
      </w:r>
      <w:r w:rsidR="008E2EE9">
        <w:rPr>
          <w:noProof/>
        </w:rPr>
        <w:fldChar w:fldCharType="end"/>
      </w:r>
      <w:r>
        <w:rPr>
          <w:lang w:val="en-US"/>
        </w:rPr>
        <w:t>: Whether to introduce interruption requirements in RRM session is pending on the conclusion in RF session.</w:t>
      </w:r>
      <w:bookmarkEnd w:id="0"/>
    </w:p>
    <w:p w14:paraId="677FBCA6" w14:textId="245114E0" w:rsidR="003308CF" w:rsidRDefault="00835E1D" w:rsidP="00835E1D">
      <w:pPr>
        <w:jc w:val="both"/>
        <w:rPr>
          <w:lang w:val="x-none" w:eastAsia="x-none"/>
        </w:rPr>
      </w:pPr>
      <w:r>
        <w:rPr>
          <w:lang w:val="x-none" w:eastAsia="x-none"/>
        </w:rPr>
        <w:t>Another discussion is about where to capture this interruption requirements (if agreed in RF session). Traditionally, interruption requireme</w:t>
      </w:r>
      <w:r w:rsidR="007F4A8C">
        <w:rPr>
          <w:lang w:val="x-none" w:eastAsia="x-none"/>
        </w:rPr>
        <w:t>nts were specified in TS38.133 with the interruption duration in the unit of slot. However, we also observe some description about allowing interruption in TS38.101-3, as captured below.</w:t>
      </w:r>
    </w:p>
    <w:tbl>
      <w:tblPr>
        <w:tblStyle w:val="TableGrid"/>
        <w:tblW w:w="0" w:type="auto"/>
        <w:tblLook w:val="04A0" w:firstRow="1" w:lastRow="0" w:firstColumn="1" w:lastColumn="0" w:noHBand="0" w:noVBand="1"/>
      </w:tblPr>
      <w:tblGrid>
        <w:gridCol w:w="9629"/>
      </w:tblGrid>
      <w:tr w:rsidR="007F4A8C" w14:paraId="2D53D976" w14:textId="77777777" w:rsidTr="007F4A8C">
        <w:tc>
          <w:tcPr>
            <w:tcW w:w="9629" w:type="dxa"/>
          </w:tcPr>
          <w:p w14:paraId="61F71E33" w14:textId="77777777" w:rsidR="007F4A8C" w:rsidRPr="00556449" w:rsidRDefault="007F4A8C" w:rsidP="007F4A8C">
            <w:pPr>
              <w:pStyle w:val="Heading3"/>
              <w:rPr>
                <w:rFonts w:eastAsia="新細明體"/>
                <w:sz w:val="22"/>
                <w:lang w:eastAsia="zh-TW"/>
              </w:rPr>
            </w:pPr>
            <w:bookmarkStart w:id="1" w:name="_Toc21345517"/>
            <w:r w:rsidRPr="00556449">
              <w:rPr>
                <w:sz w:val="22"/>
              </w:rPr>
              <w:lastRenderedPageBreak/>
              <w:t>6.3B</w:t>
            </w:r>
            <w:r w:rsidRPr="00556449">
              <w:rPr>
                <w:rFonts w:eastAsia="新細明體" w:hint="eastAsia"/>
                <w:sz w:val="22"/>
                <w:lang w:eastAsia="zh-TW"/>
              </w:rPr>
              <w:t>.2</w:t>
            </w:r>
            <w:r w:rsidRPr="00556449">
              <w:rPr>
                <w:sz w:val="22"/>
              </w:rPr>
              <w:tab/>
              <w:t xml:space="preserve">Output power dynamics for </w:t>
            </w:r>
            <w:r w:rsidRPr="00556449">
              <w:rPr>
                <w:rFonts w:eastAsia="新細明體" w:hint="eastAsia"/>
                <w:sz w:val="22"/>
                <w:lang w:eastAsia="zh-TW"/>
              </w:rPr>
              <w:t xml:space="preserve">intra-band </w:t>
            </w:r>
            <w:r w:rsidRPr="00556449">
              <w:rPr>
                <w:rFonts w:eastAsia="新細明體"/>
                <w:sz w:val="22"/>
                <w:lang w:eastAsia="zh-TW"/>
              </w:rPr>
              <w:t>EN-DC without dual PA capability</w:t>
            </w:r>
            <w:bookmarkEnd w:id="1"/>
          </w:p>
          <w:p w14:paraId="604E73A7" w14:textId="77777777" w:rsidR="007F4A8C" w:rsidRPr="00556449" w:rsidRDefault="007F4A8C" w:rsidP="007F4A8C">
            <w:pPr>
              <w:rPr>
                <w:rFonts w:eastAsia="新細明體"/>
                <w:sz w:val="18"/>
                <w:lang w:eastAsia="zh-TW"/>
              </w:rPr>
            </w:pPr>
            <w:r w:rsidRPr="00556449">
              <w:rPr>
                <w:rFonts w:eastAsia="新細明體" w:hint="eastAsia"/>
                <w:sz w:val="18"/>
                <w:lang w:eastAsia="zh-TW"/>
              </w:rPr>
              <w:t>F</w:t>
            </w:r>
            <w:r w:rsidRPr="00556449">
              <w:rPr>
                <w:rFonts w:eastAsia="新細明體"/>
                <w:sz w:val="18"/>
                <w:lang w:eastAsia="zh-TW"/>
              </w:rPr>
              <w:t>or both non-contiguous intra-band EN-DC and contiguous EN-DC for DC_(n)41 and DC_(n)71 without dual PA capability</w:t>
            </w:r>
            <w:r w:rsidRPr="00556449">
              <w:rPr>
                <w:rFonts w:eastAsia="新細明體" w:hint="eastAsia"/>
                <w:sz w:val="18"/>
                <w:lang w:eastAsia="zh-TW"/>
              </w:rPr>
              <w:t xml:space="preserve">, maximum </w:t>
            </w:r>
            <w:r w:rsidRPr="00556449">
              <w:rPr>
                <w:rFonts w:eastAsia="新細明體"/>
                <w:sz w:val="18"/>
                <w:lang w:eastAsia="zh-TW"/>
              </w:rPr>
              <w:t>UL switching time is defined as 120</w:t>
            </w:r>
            <w:r w:rsidRPr="00556449">
              <w:rPr>
                <w:rFonts w:eastAsia="新細明體" w:hint="eastAsia"/>
                <w:sz w:val="18"/>
                <w:lang w:eastAsia="zh-TW"/>
              </w:rPr>
              <w:t xml:space="preserve"> u</w:t>
            </w:r>
            <w:r w:rsidRPr="00556449">
              <w:rPr>
                <w:rFonts w:eastAsia="新細明體"/>
                <w:sz w:val="18"/>
                <w:lang w:eastAsia="zh-TW"/>
              </w:rPr>
              <w:t xml:space="preserve">s and </w:t>
            </w:r>
            <w:r w:rsidRPr="00556449">
              <w:rPr>
                <w:rFonts w:eastAsia="新細明體"/>
                <w:sz w:val="18"/>
                <w:highlight w:val="yellow"/>
                <w:lang w:eastAsia="zh-TW"/>
              </w:rPr>
              <w:t>DL reception interruption is allowed during UL switching</w:t>
            </w:r>
            <w:r w:rsidRPr="00556449">
              <w:rPr>
                <w:rFonts w:eastAsia="新細明體" w:hint="eastAsia"/>
                <w:sz w:val="18"/>
                <w:lang w:eastAsia="zh-TW"/>
              </w:rPr>
              <w:t xml:space="preserve">. </w:t>
            </w:r>
            <w:r w:rsidRPr="00556449">
              <w:rPr>
                <w:rFonts w:eastAsia="新細明體"/>
                <w:sz w:val="18"/>
                <w:lang w:eastAsia="zh-TW"/>
              </w:rPr>
              <w:t>Time masks in Figure 6.3B.2-1 and Figure 6.3B.2-2 shall apply. Unless otherwise stated, for intra-band contiguous EN-DC of other band combinations the switching time in 6.3B.1.1 applies.</w:t>
            </w:r>
          </w:p>
          <w:p w14:paraId="3CB7B871" w14:textId="77777777" w:rsidR="007F4A8C" w:rsidRPr="00556449" w:rsidRDefault="007F4A8C" w:rsidP="007F4A8C">
            <w:pPr>
              <w:pStyle w:val="TH"/>
              <w:rPr>
                <w:rFonts w:eastAsia="新細明體"/>
                <w:sz w:val="18"/>
                <w:lang w:eastAsia="zh-TW"/>
              </w:rPr>
            </w:pPr>
            <w:r w:rsidRPr="00556449">
              <w:rPr>
                <w:noProof/>
                <w:sz w:val="18"/>
                <w:lang w:val="en-US" w:eastAsia="zh-TW"/>
              </w:rPr>
              <w:drawing>
                <wp:inline distT="0" distB="0" distL="0" distR="0" wp14:anchorId="76D9873B" wp14:editId="0A0E10F3">
                  <wp:extent cx="5476145" cy="149742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90609" cy="1501378"/>
                          </a:xfrm>
                          <a:prstGeom prst="rect">
                            <a:avLst/>
                          </a:prstGeom>
                          <a:noFill/>
                          <a:ln>
                            <a:noFill/>
                          </a:ln>
                        </pic:spPr>
                      </pic:pic>
                    </a:graphicData>
                  </a:graphic>
                </wp:inline>
              </w:drawing>
            </w:r>
          </w:p>
          <w:p w14:paraId="19DC23BD" w14:textId="559A97B0" w:rsidR="007F4A8C" w:rsidRDefault="007F4A8C" w:rsidP="007F4A8C">
            <w:pPr>
              <w:pStyle w:val="TF"/>
            </w:pPr>
            <w:r w:rsidRPr="00556449">
              <w:rPr>
                <w:sz w:val="18"/>
              </w:rPr>
              <w:t xml:space="preserve">Figure 6.3B.2-1: E-UTRA to NR switching time mask for </w:t>
            </w:r>
            <w:r w:rsidRPr="00556449">
              <w:rPr>
                <w:rFonts w:hint="eastAsia"/>
                <w:sz w:val="18"/>
                <w:lang w:eastAsia="zh-TW"/>
              </w:rPr>
              <w:t xml:space="preserve">intra-band </w:t>
            </w:r>
            <w:r w:rsidRPr="00556449">
              <w:rPr>
                <w:sz w:val="18"/>
                <w:lang w:eastAsia="zh-TW"/>
              </w:rPr>
              <w:t>EN-DC without dual PA capability when single UL is allowed</w:t>
            </w:r>
          </w:p>
        </w:tc>
      </w:tr>
    </w:tbl>
    <w:p w14:paraId="63700A5F" w14:textId="77777777" w:rsidR="007F4A8C" w:rsidRDefault="007F4A8C" w:rsidP="00835E1D">
      <w:pPr>
        <w:jc w:val="both"/>
        <w:rPr>
          <w:lang w:val="x-none" w:eastAsia="x-none"/>
        </w:rPr>
      </w:pPr>
    </w:p>
    <w:p w14:paraId="0E3AC773" w14:textId="420DC9E6" w:rsidR="007F4A8C" w:rsidRDefault="007F4A8C" w:rsidP="00835E1D">
      <w:pPr>
        <w:jc w:val="both"/>
        <w:rPr>
          <w:lang w:val="x-none" w:eastAsia="x-none"/>
        </w:rPr>
      </w:pPr>
      <w:r>
        <w:rPr>
          <w:lang w:val="x-none" w:eastAsia="x-none"/>
        </w:rPr>
        <w:t xml:space="preserve">For spec consistency, we prefer to address this interruption requirement in TS38.133. It is better for the maintenance of the spec in future releases, </w:t>
      </w:r>
      <w:r w:rsidR="00556449">
        <w:rPr>
          <w:lang w:eastAsia="x-none"/>
        </w:rPr>
        <w:t xml:space="preserve">e.g., </w:t>
      </w:r>
      <w:r>
        <w:rPr>
          <w:lang w:val="x-none" w:eastAsia="x-none"/>
        </w:rPr>
        <w:t xml:space="preserve">if we identify any new general rule that should be applied to all interruption requirements. </w:t>
      </w:r>
    </w:p>
    <w:p w14:paraId="09D6DD45" w14:textId="502B16E8" w:rsidR="001B3AA9" w:rsidRPr="001B3AA9" w:rsidRDefault="001B3AA9" w:rsidP="001B3AA9">
      <w:pPr>
        <w:pStyle w:val="Caption"/>
        <w:jc w:val="both"/>
        <w:rPr>
          <w:rFonts w:eastAsia="新細明體"/>
          <w:lang w:eastAsia="zh-TW"/>
        </w:rPr>
      </w:pPr>
      <w:bookmarkStart w:id="2" w:name="_Ref31123840"/>
      <w:r>
        <w:t xml:space="preserve">Observation </w:t>
      </w:r>
      <w:r w:rsidR="008E2EE9">
        <w:rPr>
          <w:noProof/>
        </w:rPr>
        <w:fldChar w:fldCharType="begin"/>
      </w:r>
      <w:r w:rsidR="008E2EE9">
        <w:rPr>
          <w:noProof/>
        </w:rPr>
        <w:instrText xml:space="preserve"> SEQ Observation \* ARABIC </w:instrText>
      </w:r>
      <w:r w:rsidR="008E2EE9">
        <w:rPr>
          <w:noProof/>
        </w:rPr>
        <w:fldChar w:fldCharType="separate"/>
      </w:r>
      <w:r>
        <w:rPr>
          <w:noProof/>
        </w:rPr>
        <w:t>2</w:t>
      </w:r>
      <w:r w:rsidR="008E2EE9">
        <w:rPr>
          <w:noProof/>
        </w:rPr>
        <w:fldChar w:fldCharType="end"/>
      </w:r>
      <w:r>
        <w:t>: Capturing interruption requirements in TS38.133 is better for</w:t>
      </w:r>
      <w:r>
        <w:rPr>
          <w:rFonts w:eastAsia="新細明體" w:hint="eastAsia"/>
          <w:lang w:eastAsia="zh-TW"/>
        </w:rPr>
        <w:t xml:space="preserve"> </w:t>
      </w:r>
      <w:r>
        <w:rPr>
          <w:rFonts w:eastAsia="新細明體"/>
          <w:lang w:eastAsia="zh-TW"/>
        </w:rPr>
        <w:t>spec consistency and maintenance in the future</w:t>
      </w:r>
      <w:r w:rsidR="00A050C5">
        <w:rPr>
          <w:rFonts w:eastAsia="新細明體"/>
          <w:lang w:eastAsia="zh-TW"/>
        </w:rPr>
        <w:t>.</w:t>
      </w:r>
      <w:bookmarkEnd w:id="2"/>
    </w:p>
    <w:p w14:paraId="26BA0B43" w14:textId="39E60483" w:rsidR="007F4A8C" w:rsidRDefault="007F4A8C" w:rsidP="00835E1D">
      <w:pPr>
        <w:jc w:val="both"/>
        <w:rPr>
          <w:lang w:val="x-none" w:eastAsia="x-none"/>
        </w:rPr>
      </w:pPr>
      <w:r>
        <w:rPr>
          <w:lang w:val="x-none" w:eastAsia="x-none"/>
        </w:rPr>
        <w:t xml:space="preserve">On the other hand, we also understand the worry from operators. Currently, the unit used in TS38.133 for interruption requirements is ‘slot’, even if the actual UE action causing interruptions can be done in 1 or 2 OFDM symbols. Interruption requirements in the unit of slot sound rather </w:t>
      </w:r>
      <w:r w:rsidRPr="007F4A8C">
        <w:rPr>
          <w:lang w:val="x-none" w:eastAsia="x-none"/>
        </w:rPr>
        <w:t>pessimistic</w:t>
      </w:r>
      <w:r>
        <w:rPr>
          <w:lang w:val="x-none" w:eastAsia="x-none"/>
        </w:rPr>
        <w:t xml:space="preserve"> to this feature. </w:t>
      </w:r>
    </w:p>
    <w:p w14:paraId="4847E1DE" w14:textId="28596DD2" w:rsidR="007F4A8C" w:rsidRDefault="007F4A8C" w:rsidP="00835E1D">
      <w:pPr>
        <w:jc w:val="both"/>
        <w:rPr>
          <w:lang w:val="x-none" w:eastAsia="x-none"/>
        </w:rPr>
      </w:pPr>
      <w:r>
        <w:rPr>
          <w:lang w:val="x-none" w:eastAsia="x-none"/>
        </w:rPr>
        <w:t xml:space="preserve">In our view, RAN4 can try to address operators’ concern via 2 angles. One is to introduce UE capability so that UE which doesn’t need this interruption </w:t>
      </w:r>
      <w:r w:rsidR="001B3AA9">
        <w:rPr>
          <w:lang w:val="x-none" w:eastAsia="x-none"/>
        </w:rPr>
        <w:t xml:space="preserve">can tell network about its capability. (This is a discussion in RF session) The other one is to discuss whether to specify this interruption requirement in the unit of OFDM symbol. Note that both the interruption duration and the starting time of the interruption needs to be specified in symbol-level granularity. One may also think to update other interruption requirements (e.g., BWP switch), but we prefer to keep them as they are now to minimize the workload in RAN4 RRM session.  </w:t>
      </w:r>
    </w:p>
    <w:p w14:paraId="4A4ED864" w14:textId="09CC3F50" w:rsidR="007F4A8C" w:rsidRPr="003308CF" w:rsidRDefault="00540241" w:rsidP="00540241">
      <w:pPr>
        <w:pStyle w:val="Caption"/>
      </w:pPr>
      <w:bookmarkStart w:id="3" w:name="_Ref31123844"/>
      <w:r>
        <w:t xml:space="preserve">Proposal </w:t>
      </w:r>
      <w:r w:rsidR="008E2EE9">
        <w:rPr>
          <w:noProof/>
        </w:rPr>
        <w:fldChar w:fldCharType="begin"/>
      </w:r>
      <w:r w:rsidR="008E2EE9">
        <w:rPr>
          <w:noProof/>
        </w:rPr>
        <w:instrText xml:space="preserve"> SEQ Proposal \* ARABIC </w:instrText>
      </w:r>
      <w:r w:rsidR="008E2EE9">
        <w:rPr>
          <w:noProof/>
        </w:rPr>
        <w:fldChar w:fldCharType="separate"/>
      </w:r>
      <w:r>
        <w:rPr>
          <w:noProof/>
        </w:rPr>
        <w:t>1</w:t>
      </w:r>
      <w:r w:rsidR="008E2EE9">
        <w:rPr>
          <w:noProof/>
        </w:rPr>
        <w:fldChar w:fldCharType="end"/>
      </w:r>
      <w:r>
        <w:t>: If interruption is agreed in RF session, the requirements are specified in TS38.133 with the starting time of the interruption and the interruption duration specified in the unit of OFDM symbol.</w:t>
      </w:r>
      <w:bookmarkEnd w:id="3"/>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66549B52" w14:textId="2E96C351" w:rsidR="006B0FC0" w:rsidRDefault="006F7557" w:rsidP="006B0FC0">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t>
      </w:r>
      <w:r w:rsidR="00540241">
        <w:t xml:space="preserve">we provide our view on the interruption requirements for </w:t>
      </w:r>
      <w:r w:rsidR="00540241" w:rsidRPr="00540241">
        <w:t>Tx switching between two uplink carriers</w:t>
      </w:r>
      <w:r w:rsidR="00540241">
        <w:t>. We have the following observations and proposal.</w:t>
      </w:r>
    </w:p>
    <w:p w14:paraId="6F7CD6C5" w14:textId="1C050275" w:rsidR="00540241" w:rsidRPr="00540241" w:rsidRDefault="00540241" w:rsidP="006B0FC0">
      <w:pPr>
        <w:adjustRightInd w:val="0"/>
        <w:snapToGrid w:val="0"/>
        <w:spacing w:before="180" w:after="120"/>
        <w:jc w:val="both"/>
        <w:rPr>
          <w:b/>
          <w:sz w:val="20"/>
          <w:szCs w:val="20"/>
          <w:lang w:val="x-none" w:eastAsia="x-none"/>
        </w:rPr>
      </w:pPr>
      <w:r w:rsidRPr="00540241">
        <w:rPr>
          <w:b/>
          <w:sz w:val="20"/>
          <w:szCs w:val="20"/>
          <w:lang w:val="x-none" w:eastAsia="x-none"/>
        </w:rPr>
        <w:fldChar w:fldCharType="begin"/>
      </w:r>
      <w:r w:rsidRPr="00540241">
        <w:rPr>
          <w:b/>
          <w:sz w:val="20"/>
          <w:szCs w:val="20"/>
          <w:lang w:val="x-none" w:eastAsia="x-none"/>
        </w:rPr>
        <w:instrText xml:space="preserve"> REF _Ref31123839 \h </w:instrText>
      </w:r>
      <w:r>
        <w:rPr>
          <w:b/>
          <w:sz w:val="20"/>
          <w:szCs w:val="20"/>
          <w:lang w:val="x-none" w:eastAsia="x-none"/>
        </w:rPr>
        <w:instrText xml:space="preserve"> \* MERGEFORMAT </w:instrText>
      </w:r>
      <w:r w:rsidRPr="00540241">
        <w:rPr>
          <w:b/>
          <w:sz w:val="20"/>
          <w:szCs w:val="20"/>
          <w:lang w:val="x-none" w:eastAsia="x-none"/>
        </w:rPr>
      </w:r>
      <w:r w:rsidRPr="00540241">
        <w:rPr>
          <w:b/>
          <w:sz w:val="20"/>
          <w:szCs w:val="20"/>
          <w:lang w:val="x-none" w:eastAsia="x-none"/>
        </w:rPr>
        <w:fldChar w:fldCharType="separate"/>
      </w:r>
      <w:r w:rsidR="00556449" w:rsidRPr="00556449">
        <w:rPr>
          <w:b/>
          <w:sz w:val="20"/>
          <w:szCs w:val="20"/>
          <w:lang w:val="x-none" w:eastAsia="x-none"/>
        </w:rPr>
        <w:t>Observation 1: Whether to introduce interruption requirements in RRM session is pending on the conclusion in RF session.</w:t>
      </w:r>
      <w:r w:rsidRPr="00540241">
        <w:rPr>
          <w:b/>
          <w:sz w:val="20"/>
          <w:szCs w:val="20"/>
          <w:lang w:val="x-none" w:eastAsia="x-none"/>
        </w:rPr>
        <w:fldChar w:fldCharType="end"/>
      </w:r>
      <w:bookmarkStart w:id="4" w:name="_GoBack"/>
      <w:bookmarkEnd w:id="4"/>
    </w:p>
    <w:p w14:paraId="22631C19" w14:textId="073BFCBA" w:rsidR="00540241" w:rsidRPr="00540241" w:rsidRDefault="00540241" w:rsidP="006B0FC0">
      <w:pPr>
        <w:adjustRightInd w:val="0"/>
        <w:snapToGrid w:val="0"/>
        <w:spacing w:before="180" w:after="120"/>
        <w:jc w:val="both"/>
        <w:rPr>
          <w:b/>
          <w:sz w:val="20"/>
          <w:szCs w:val="20"/>
          <w:lang w:val="x-none" w:eastAsia="x-none"/>
        </w:rPr>
      </w:pPr>
      <w:r w:rsidRPr="00540241">
        <w:rPr>
          <w:b/>
          <w:sz w:val="20"/>
          <w:szCs w:val="20"/>
          <w:lang w:val="x-none" w:eastAsia="x-none"/>
        </w:rPr>
        <w:fldChar w:fldCharType="begin"/>
      </w:r>
      <w:r w:rsidRPr="00540241">
        <w:rPr>
          <w:b/>
          <w:sz w:val="20"/>
          <w:szCs w:val="20"/>
          <w:lang w:val="x-none" w:eastAsia="x-none"/>
        </w:rPr>
        <w:instrText xml:space="preserve"> REF _Ref31123840 \h </w:instrText>
      </w:r>
      <w:r>
        <w:rPr>
          <w:b/>
          <w:sz w:val="20"/>
          <w:szCs w:val="20"/>
          <w:lang w:val="x-none" w:eastAsia="x-none"/>
        </w:rPr>
        <w:instrText xml:space="preserve"> \* MERGEFORMAT </w:instrText>
      </w:r>
      <w:r w:rsidRPr="00540241">
        <w:rPr>
          <w:b/>
          <w:sz w:val="20"/>
          <w:szCs w:val="20"/>
          <w:lang w:val="x-none" w:eastAsia="x-none"/>
        </w:rPr>
      </w:r>
      <w:r w:rsidRPr="00540241">
        <w:rPr>
          <w:b/>
          <w:sz w:val="20"/>
          <w:szCs w:val="20"/>
          <w:lang w:val="x-none" w:eastAsia="x-none"/>
        </w:rPr>
        <w:fldChar w:fldCharType="separate"/>
      </w:r>
      <w:r w:rsidR="00556449" w:rsidRPr="00556449">
        <w:rPr>
          <w:b/>
          <w:sz w:val="20"/>
          <w:szCs w:val="20"/>
          <w:lang w:val="x-none" w:eastAsia="x-none"/>
        </w:rPr>
        <w:t>Observation 2: Capturing interruption requirements in TS38.133 is better for</w:t>
      </w:r>
      <w:r w:rsidR="00556449" w:rsidRPr="00556449">
        <w:rPr>
          <w:rFonts w:hint="eastAsia"/>
          <w:b/>
          <w:sz w:val="20"/>
          <w:szCs w:val="20"/>
          <w:lang w:val="x-none" w:eastAsia="x-none"/>
        </w:rPr>
        <w:t xml:space="preserve"> </w:t>
      </w:r>
      <w:r w:rsidR="00556449" w:rsidRPr="00556449">
        <w:rPr>
          <w:b/>
          <w:sz w:val="20"/>
          <w:szCs w:val="20"/>
          <w:lang w:val="x-none" w:eastAsia="x-none"/>
        </w:rPr>
        <w:t>spec consistency and maintenance in the future.</w:t>
      </w:r>
      <w:r w:rsidRPr="00540241">
        <w:rPr>
          <w:b/>
          <w:sz w:val="20"/>
          <w:szCs w:val="20"/>
          <w:lang w:val="x-none" w:eastAsia="x-none"/>
        </w:rPr>
        <w:fldChar w:fldCharType="end"/>
      </w:r>
    </w:p>
    <w:p w14:paraId="68F58F64" w14:textId="26423DB7" w:rsidR="007F5072" w:rsidRPr="00540241" w:rsidRDefault="00540241" w:rsidP="00540241">
      <w:pPr>
        <w:adjustRightInd w:val="0"/>
        <w:snapToGrid w:val="0"/>
        <w:spacing w:before="180" w:after="120"/>
        <w:jc w:val="both"/>
        <w:rPr>
          <w:b/>
          <w:sz w:val="20"/>
          <w:szCs w:val="20"/>
          <w:lang w:val="x-none" w:eastAsia="x-none"/>
        </w:rPr>
      </w:pPr>
      <w:r w:rsidRPr="00540241">
        <w:rPr>
          <w:b/>
          <w:sz w:val="20"/>
          <w:szCs w:val="20"/>
          <w:lang w:val="x-none" w:eastAsia="x-none"/>
        </w:rPr>
        <w:fldChar w:fldCharType="begin"/>
      </w:r>
      <w:r w:rsidRPr="00540241">
        <w:rPr>
          <w:b/>
          <w:sz w:val="20"/>
          <w:szCs w:val="20"/>
          <w:lang w:val="x-none" w:eastAsia="x-none"/>
        </w:rPr>
        <w:instrText xml:space="preserve"> REF _Ref31123844 \h </w:instrText>
      </w:r>
      <w:r>
        <w:rPr>
          <w:b/>
          <w:sz w:val="20"/>
          <w:szCs w:val="20"/>
          <w:lang w:val="x-none" w:eastAsia="x-none"/>
        </w:rPr>
        <w:instrText xml:space="preserve"> \* MERGEFORMAT </w:instrText>
      </w:r>
      <w:r w:rsidRPr="00540241">
        <w:rPr>
          <w:b/>
          <w:sz w:val="20"/>
          <w:szCs w:val="20"/>
          <w:lang w:val="x-none" w:eastAsia="x-none"/>
        </w:rPr>
      </w:r>
      <w:r w:rsidRPr="00540241">
        <w:rPr>
          <w:b/>
          <w:sz w:val="20"/>
          <w:szCs w:val="20"/>
          <w:lang w:val="x-none" w:eastAsia="x-none"/>
        </w:rPr>
        <w:fldChar w:fldCharType="separate"/>
      </w:r>
      <w:r w:rsidR="00556449" w:rsidRPr="00556449">
        <w:rPr>
          <w:b/>
          <w:sz w:val="20"/>
          <w:szCs w:val="20"/>
          <w:lang w:val="x-none" w:eastAsia="x-none"/>
        </w:rPr>
        <w:t>Proposal 1: If interruption is agreed in RF session, the requirements are specified in TS38.133 with the starting time of the interruption and the interruption duration specified in the unit of OFDM symbol.</w:t>
      </w:r>
      <w:r w:rsidRPr="00540241">
        <w:rPr>
          <w:b/>
          <w:sz w:val="20"/>
          <w:szCs w:val="20"/>
          <w:lang w:val="x-none" w:eastAsia="x-none"/>
        </w:rPr>
        <w:fldChar w:fldCharType="end"/>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lastRenderedPageBreak/>
        <w:t>Reference</w:t>
      </w:r>
    </w:p>
    <w:p w14:paraId="191EE729" w14:textId="7D6C729B" w:rsidR="00842EE0" w:rsidRDefault="0090653B" w:rsidP="00872564">
      <w:pPr>
        <w:overflowPunct w:val="0"/>
        <w:autoSpaceDE w:val="0"/>
        <w:autoSpaceDN w:val="0"/>
        <w:adjustRightInd w:val="0"/>
        <w:textAlignment w:val="baseline"/>
        <w:rPr>
          <w:sz w:val="20"/>
          <w:lang w:eastAsia="ko-KR"/>
        </w:rPr>
      </w:pPr>
      <w:r>
        <w:rPr>
          <w:sz w:val="20"/>
          <w:lang w:eastAsia="ko-KR"/>
        </w:rPr>
        <w:t xml:space="preserve">[1] </w:t>
      </w:r>
      <w:r w:rsidR="00540241" w:rsidRPr="00540241">
        <w:rPr>
          <w:sz w:val="20"/>
          <w:lang w:eastAsia="ko-KR"/>
        </w:rPr>
        <w:t>R4-1916084</w:t>
      </w:r>
      <w:r>
        <w:rPr>
          <w:sz w:val="20"/>
          <w:lang w:eastAsia="ko-KR"/>
        </w:rPr>
        <w:t>, “</w:t>
      </w:r>
      <w:r w:rsidR="00540241" w:rsidRPr="00540241">
        <w:rPr>
          <w:sz w:val="20"/>
          <w:lang w:eastAsia="ko-KR"/>
        </w:rPr>
        <w:t>Way forward on Tx</w:t>
      </w:r>
      <w:r w:rsidR="00540241">
        <w:rPr>
          <w:sz w:val="20"/>
          <w:lang w:eastAsia="ko-KR"/>
        </w:rPr>
        <w:t xml:space="preserve"> </w:t>
      </w:r>
      <w:r w:rsidR="00540241" w:rsidRPr="00540241">
        <w:rPr>
          <w:sz w:val="20"/>
          <w:lang w:eastAsia="ko-KR"/>
        </w:rPr>
        <w:t>switching between two uplink carriers</w:t>
      </w:r>
      <w:r>
        <w:rPr>
          <w:sz w:val="20"/>
          <w:lang w:eastAsia="ko-KR"/>
        </w:rPr>
        <w:t xml:space="preserve">”, </w:t>
      </w:r>
      <w:r w:rsidR="00540241" w:rsidRPr="00540241">
        <w:rPr>
          <w:sz w:val="20"/>
          <w:lang w:eastAsia="ko-KR"/>
        </w:rPr>
        <w:t>China Telecom</w:t>
      </w:r>
    </w:p>
    <w:sectPr w:rsidR="00842EE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B7B7EB" w14:textId="77777777" w:rsidR="00067A0A" w:rsidRDefault="00067A0A">
      <w:r>
        <w:separator/>
      </w:r>
    </w:p>
  </w:endnote>
  <w:endnote w:type="continuationSeparator" w:id="0">
    <w:p w14:paraId="4A5623BD" w14:textId="77777777" w:rsidR="00067A0A" w:rsidRDefault="00067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sig w:usb0="00000003" w:usb1="00000000" w:usb2="00000000" w:usb3="00000000" w:csb0="00000001" w:csb1="00000000"/>
  </w:font>
  <w:font w:name="rtxr">
    <w:altName w:val="Times New Roman"/>
    <w:panose1 w:val="00000000000000000000"/>
    <w:charset w:val="00"/>
    <w:family w:val="roman"/>
    <w:notTrueType/>
    <w:pitch w:val="default"/>
    <w:sig w:usb0="00000003" w:usb1="00000000" w:usb2="00000000" w:usb3="00000000" w:csb0="00000001" w:csb1="00000000"/>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5B3DCA" w14:textId="77777777" w:rsidR="00067A0A" w:rsidRDefault="00067A0A">
      <w:r>
        <w:separator/>
      </w:r>
    </w:p>
  </w:footnote>
  <w:footnote w:type="continuationSeparator" w:id="0">
    <w:p w14:paraId="348DCEDF" w14:textId="77777777" w:rsidR="00067A0A" w:rsidRDefault="00067A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6C53C9"/>
    <w:multiLevelType w:val="hybridMultilevel"/>
    <w:tmpl w:val="7D0E0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970490"/>
    <w:multiLevelType w:val="hybridMultilevel"/>
    <w:tmpl w:val="861C7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0731A0B"/>
    <w:multiLevelType w:val="hybridMultilevel"/>
    <w:tmpl w:val="A92CA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A21A49"/>
    <w:multiLevelType w:val="hybridMultilevel"/>
    <w:tmpl w:val="45C045A0"/>
    <w:lvl w:ilvl="0" w:tplc="7756BAF4">
      <w:start w:val="1"/>
      <w:numFmt w:val="bullet"/>
      <w:lvlText w:val="•"/>
      <w:lvlJc w:val="left"/>
      <w:pPr>
        <w:tabs>
          <w:tab w:val="num" w:pos="720"/>
        </w:tabs>
        <w:ind w:left="720" w:hanging="360"/>
      </w:pPr>
      <w:rPr>
        <w:rFonts w:ascii="Arial" w:hAnsi="Arial" w:hint="default"/>
      </w:rPr>
    </w:lvl>
    <w:lvl w:ilvl="1" w:tplc="C6E60800" w:tentative="1">
      <w:start w:val="1"/>
      <w:numFmt w:val="bullet"/>
      <w:lvlText w:val="•"/>
      <w:lvlJc w:val="left"/>
      <w:pPr>
        <w:tabs>
          <w:tab w:val="num" w:pos="1440"/>
        </w:tabs>
        <w:ind w:left="1440" w:hanging="360"/>
      </w:pPr>
      <w:rPr>
        <w:rFonts w:ascii="Arial" w:hAnsi="Arial" w:hint="default"/>
      </w:rPr>
    </w:lvl>
    <w:lvl w:ilvl="2" w:tplc="58EA609E" w:tentative="1">
      <w:start w:val="1"/>
      <w:numFmt w:val="bullet"/>
      <w:lvlText w:val="•"/>
      <w:lvlJc w:val="left"/>
      <w:pPr>
        <w:tabs>
          <w:tab w:val="num" w:pos="2160"/>
        </w:tabs>
        <w:ind w:left="2160" w:hanging="360"/>
      </w:pPr>
      <w:rPr>
        <w:rFonts w:ascii="Arial" w:hAnsi="Arial" w:hint="default"/>
      </w:rPr>
    </w:lvl>
    <w:lvl w:ilvl="3" w:tplc="E55A34EA" w:tentative="1">
      <w:start w:val="1"/>
      <w:numFmt w:val="bullet"/>
      <w:lvlText w:val="•"/>
      <w:lvlJc w:val="left"/>
      <w:pPr>
        <w:tabs>
          <w:tab w:val="num" w:pos="2880"/>
        </w:tabs>
        <w:ind w:left="2880" w:hanging="360"/>
      </w:pPr>
      <w:rPr>
        <w:rFonts w:ascii="Arial" w:hAnsi="Arial" w:hint="default"/>
      </w:rPr>
    </w:lvl>
    <w:lvl w:ilvl="4" w:tplc="5EEAC844" w:tentative="1">
      <w:start w:val="1"/>
      <w:numFmt w:val="bullet"/>
      <w:lvlText w:val="•"/>
      <w:lvlJc w:val="left"/>
      <w:pPr>
        <w:tabs>
          <w:tab w:val="num" w:pos="3600"/>
        </w:tabs>
        <w:ind w:left="3600" w:hanging="360"/>
      </w:pPr>
      <w:rPr>
        <w:rFonts w:ascii="Arial" w:hAnsi="Arial" w:hint="default"/>
      </w:rPr>
    </w:lvl>
    <w:lvl w:ilvl="5" w:tplc="94122596" w:tentative="1">
      <w:start w:val="1"/>
      <w:numFmt w:val="bullet"/>
      <w:lvlText w:val="•"/>
      <w:lvlJc w:val="left"/>
      <w:pPr>
        <w:tabs>
          <w:tab w:val="num" w:pos="4320"/>
        </w:tabs>
        <w:ind w:left="4320" w:hanging="360"/>
      </w:pPr>
      <w:rPr>
        <w:rFonts w:ascii="Arial" w:hAnsi="Arial" w:hint="default"/>
      </w:rPr>
    </w:lvl>
    <w:lvl w:ilvl="6" w:tplc="63E0ED86" w:tentative="1">
      <w:start w:val="1"/>
      <w:numFmt w:val="bullet"/>
      <w:lvlText w:val="•"/>
      <w:lvlJc w:val="left"/>
      <w:pPr>
        <w:tabs>
          <w:tab w:val="num" w:pos="5040"/>
        </w:tabs>
        <w:ind w:left="5040" w:hanging="360"/>
      </w:pPr>
      <w:rPr>
        <w:rFonts w:ascii="Arial" w:hAnsi="Arial" w:hint="default"/>
      </w:rPr>
    </w:lvl>
    <w:lvl w:ilvl="7" w:tplc="AD704232" w:tentative="1">
      <w:start w:val="1"/>
      <w:numFmt w:val="bullet"/>
      <w:lvlText w:val="•"/>
      <w:lvlJc w:val="left"/>
      <w:pPr>
        <w:tabs>
          <w:tab w:val="num" w:pos="5760"/>
        </w:tabs>
        <w:ind w:left="5760" w:hanging="360"/>
      </w:pPr>
      <w:rPr>
        <w:rFonts w:ascii="Arial" w:hAnsi="Arial" w:hint="default"/>
      </w:rPr>
    </w:lvl>
    <w:lvl w:ilvl="8" w:tplc="FDB4A0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7"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9076B3"/>
    <w:multiLevelType w:val="hybridMultilevel"/>
    <w:tmpl w:val="23BE95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BEB29C8"/>
    <w:multiLevelType w:val="hybridMultilevel"/>
    <w:tmpl w:val="15FEF5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9"/>
  </w:num>
  <w:num w:numId="3">
    <w:abstractNumId w:val="2"/>
  </w:num>
  <w:num w:numId="4">
    <w:abstractNumId w:val="1"/>
  </w:num>
  <w:num w:numId="5">
    <w:abstractNumId w:val="8"/>
  </w:num>
  <w:num w:numId="6">
    <w:abstractNumId w:val="15"/>
  </w:num>
  <w:num w:numId="7">
    <w:abstractNumId w:val="10"/>
  </w:num>
  <w:num w:numId="8">
    <w:abstractNumId w:val="18"/>
  </w:num>
  <w:num w:numId="9">
    <w:abstractNumId w:val="13"/>
  </w:num>
  <w:num w:numId="10">
    <w:abstractNumId w:val="0"/>
  </w:num>
  <w:num w:numId="11">
    <w:abstractNumId w:val="4"/>
  </w:num>
  <w:num w:numId="12">
    <w:abstractNumId w:val="16"/>
  </w:num>
  <w:num w:numId="13">
    <w:abstractNumId w:val="12"/>
  </w:num>
  <w:num w:numId="14">
    <w:abstractNumId w:val="3"/>
  </w:num>
  <w:num w:numId="15">
    <w:abstractNumId w:val="5"/>
  </w:num>
  <w:num w:numId="16">
    <w:abstractNumId w:val="14"/>
  </w:num>
  <w:num w:numId="17">
    <w:abstractNumId w:val="7"/>
  </w:num>
  <w:num w:numId="18">
    <w:abstractNumId w:val="11"/>
  </w:num>
  <w:num w:numId="19">
    <w:abstractNumId w:val="6"/>
  </w:num>
  <w:num w:numId="20">
    <w:abstractNumId w:val="19"/>
  </w:num>
  <w:num w:numId="21">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67A0A"/>
    <w:rsid w:val="000700C3"/>
    <w:rsid w:val="00070917"/>
    <w:rsid w:val="00070BE8"/>
    <w:rsid w:val="00070C66"/>
    <w:rsid w:val="00071020"/>
    <w:rsid w:val="00071072"/>
    <w:rsid w:val="000712C4"/>
    <w:rsid w:val="00071CD5"/>
    <w:rsid w:val="000727DB"/>
    <w:rsid w:val="00072CB0"/>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2D87"/>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2E48"/>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152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A9"/>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25F"/>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953"/>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6F5"/>
    <w:rsid w:val="00253CC6"/>
    <w:rsid w:val="00253F28"/>
    <w:rsid w:val="002543F4"/>
    <w:rsid w:val="00254424"/>
    <w:rsid w:val="00254485"/>
    <w:rsid w:val="002544EC"/>
    <w:rsid w:val="00254DB0"/>
    <w:rsid w:val="002551A0"/>
    <w:rsid w:val="0025581D"/>
    <w:rsid w:val="00255BF0"/>
    <w:rsid w:val="00255CE8"/>
    <w:rsid w:val="00255EEF"/>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2ED1"/>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AA"/>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9E4"/>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8CF"/>
    <w:rsid w:val="003309F4"/>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D60"/>
    <w:rsid w:val="00344F8D"/>
    <w:rsid w:val="00345022"/>
    <w:rsid w:val="00345BB2"/>
    <w:rsid w:val="00345F76"/>
    <w:rsid w:val="00346539"/>
    <w:rsid w:val="0034688E"/>
    <w:rsid w:val="00346A2E"/>
    <w:rsid w:val="00346B6E"/>
    <w:rsid w:val="003475C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1BD8"/>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857"/>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752"/>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335"/>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241"/>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7B3"/>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49"/>
    <w:rsid w:val="005564E0"/>
    <w:rsid w:val="0055690B"/>
    <w:rsid w:val="00556F40"/>
    <w:rsid w:val="005603B3"/>
    <w:rsid w:val="00560419"/>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D0100"/>
    <w:rsid w:val="005D05E3"/>
    <w:rsid w:val="005D0890"/>
    <w:rsid w:val="005D100E"/>
    <w:rsid w:val="005D10BA"/>
    <w:rsid w:val="005D1447"/>
    <w:rsid w:val="005D15A7"/>
    <w:rsid w:val="005D186D"/>
    <w:rsid w:val="005D198E"/>
    <w:rsid w:val="005D22A1"/>
    <w:rsid w:val="005D2D3E"/>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09A"/>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6F02"/>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3F5F"/>
    <w:rsid w:val="006840BB"/>
    <w:rsid w:val="00684309"/>
    <w:rsid w:val="006844CD"/>
    <w:rsid w:val="00684B81"/>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0FC0"/>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42A"/>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3434"/>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88B"/>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375"/>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2DD7"/>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172"/>
    <w:rsid w:val="007D2AA0"/>
    <w:rsid w:val="007D3A69"/>
    <w:rsid w:val="007D3B6C"/>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A8C"/>
    <w:rsid w:val="007F4E8A"/>
    <w:rsid w:val="007F5072"/>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E1D"/>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F96"/>
    <w:rsid w:val="008B5290"/>
    <w:rsid w:val="008B55FA"/>
    <w:rsid w:val="008B60A7"/>
    <w:rsid w:val="008B6D94"/>
    <w:rsid w:val="008B6FEB"/>
    <w:rsid w:val="008B77B0"/>
    <w:rsid w:val="008C09EB"/>
    <w:rsid w:val="008C15E1"/>
    <w:rsid w:val="008C178D"/>
    <w:rsid w:val="008C1912"/>
    <w:rsid w:val="008C19DE"/>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2EE9"/>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1F1F"/>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124"/>
    <w:rsid w:val="00944B62"/>
    <w:rsid w:val="00945637"/>
    <w:rsid w:val="00945CE3"/>
    <w:rsid w:val="00945D49"/>
    <w:rsid w:val="009460EF"/>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1"/>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A43"/>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0C5"/>
    <w:rsid w:val="00A0574A"/>
    <w:rsid w:val="00A05C6C"/>
    <w:rsid w:val="00A05FC1"/>
    <w:rsid w:val="00A06B2E"/>
    <w:rsid w:val="00A0710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A34"/>
    <w:rsid w:val="00A63B8B"/>
    <w:rsid w:val="00A63CFD"/>
    <w:rsid w:val="00A647D2"/>
    <w:rsid w:val="00A6589A"/>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4822"/>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26E"/>
    <w:rsid w:val="00AA7933"/>
    <w:rsid w:val="00AA7B4F"/>
    <w:rsid w:val="00AA7F60"/>
    <w:rsid w:val="00AB0376"/>
    <w:rsid w:val="00AB071F"/>
    <w:rsid w:val="00AB0B0A"/>
    <w:rsid w:val="00AB1143"/>
    <w:rsid w:val="00AB1FCC"/>
    <w:rsid w:val="00AB2409"/>
    <w:rsid w:val="00AB2452"/>
    <w:rsid w:val="00AB290F"/>
    <w:rsid w:val="00AB35C3"/>
    <w:rsid w:val="00AB493B"/>
    <w:rsid w:val="00AB4AE6"/>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6FBE"/>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1C9A"/>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3CF8"/>
    <w:rsid w:val="00B34B83"/>
    <w:rsid w:val="00B34D47"/>
    <w:rsid w:val="00B3523D"/>
    <w:rsid w:val="00B3552D"/>
    <w:rsid w:val="00B359CC"/>
    <w:rsid w:val="00B3604D"/>
    <w:rsid w:val="00B3670A"/>
    <w:rsid w:val="00B36FF1"/>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7CD"/>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0F54"/>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50"/>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A75"/>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5F1F"/>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DD4"/>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CF2"/>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67E"/>
    <w:rsid w:val="00E70787"/>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C5F"/>
    <w:rsid w:val="00EB1BA0"/>
    <w:rsid w:val="00EB1BBB"/>
    <w:rsid w:val="00EB281F"/>
    <w:rsid w:val="00EB2F05"/>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4D"/>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B86"/>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000"/>
    <w:rsid w:val="00F6365F"/>
    <w:rsid w:val="00F637C2"/>
    <w:rsid w:val="00F63DEC"/>
    <w:rsid w:val="00F640E7"/>
    <w:rsid w:val="00F64109"/>
    <w:rsid w:val="00F645F7"/>
    <w:rsid w:val="00F64889"/>
    <w:rsid w:val="00F64FF0"/>
    <w:rsid w:val="00F65149"/>
    <w:rsid w:val="00F65194"/>
    <w:rsid w:val="00F6553E"/>
    <w:rsid w:val="00F65631"/>
    <w:rsid w:val="00F658A1"/>
    <w:rsid w:val="00F65FFC"/>
    <w:rsid w:val="00F660BC"/>
    <w:rsid w:val="00F669B1"/>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237"/>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BEE"/>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0E"/>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071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710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R4_bullets Char,列表段落1 Char,—ño’i—Ž Char,¥¡¡¡¡ì¬º¥¹¥È¶ÎÂä Char,ÁÐ³ö¶ÎÂä Char,¥ê¥¹¥È¶ÎÂä Char,Bullet list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character" w:customStyle="1" w:styleId="TFChar">
    <w:name w:val="TF Char"/>
    <w:link w:val="TF"/>
    <w:rsid w:val="007F4A8C"/>
    <w:rPr>
      <w:rFonts w:ascii="Arial" w:eastAsiaTheme="minorEastAsia" w:hAnsi="Arial" w:cstheme="minorBidi"/>
      <w:b/>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48360323">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452789">
      <w:bodyDiv w:val="1"/>
      <w:marLeft w:val="0"/>
      <w:marRight w:val="0"/>
      <w:marTop w:val="0"/>
      <w:marBottom w:val="0"/>
      <w:divBdr>
        <w:top w:val="none" w:sz="0" w:space="0" w:color="auto"/>
        <w:left w:val="none" w:sz="0" w:space="0" w:color="auto"/>
        <w:bottom w:val="none" w:sz="0" w:space="0" w:color="auto"/>
        <w:right w:val="none" w:sz="0" w:space="0" w:color="auto"/>
      </w:divBdr>
      <w:divsChild>
        <w:div w:id="611859869">
          <w:marLeft w:val="1166"/>
          <w:marRight w:val="0"/>
          <w:marTop w:val="96"/>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004075">
      <w:bodyDiv w:val="1"/>
      <w:marLeft w:val="0"/>
      <w:marRight w:val="0"/>
      <w:marTop w:val="0"/>
      <w:marBottom w:val="0"/>
      <w:divBdr>
        <w:top w:val="none" w:sz="0" w:space="0" w:color="auto"/>
        <w:left w:val="none" w:sz="0" w:space="0" w:color="auto"/>
        <w:bottom w:val="none" w:sz="0" w:space="0" w:color="auto"/>
        <w:right w:val="none" w:sz="0" w:space="0" w:color="auto"/>
      </w:divBdr>
      <w:divsChild>
        <w:div w:id="1236628701">
          <w:marLeft w:val="547"/>
          <w:marRight w:val="0"/>
          <w:marTop w:val="96"/>
          <w:marBottom w:val="0"/>
          <w:divBdr>
            <w:top w:val="none" w:sz="0" w:space="0" w:color="auto"/>
            <w:left w:val="none" w:sz="0" w:space="0" w:color="auto"/>
            <w:bottom w:val="none" w:sz="0" w:space="0" w:color="auto"/>
            <w:right w:val="none" w:sz="0" w:space="0" w:color="auto"/>
          </w:divBdr>
        </w:div>
        <w:div w:id="17972715">
          <w:marLeft w:val="1166"/>
          <w:marRight w:val="0"/>
          <w:marTop w:val="86"/>
          <w:marBottom w:val="0"/>
          <w:divBdr>
            <w:top w:val="none" w:sz="0" w:space="0" w:color="auto"/>
            <w:left w:val="none" w:sz="0" w:space="0" w:color="auto"/>
            <w:bottom w:val="none" w:sz="0" w:space="0" w:color="auto"/>
            <w:right w:val="none" w:sz="0" w:space="0" w:color="auto"/>
          </w:divBdr>
        </w:div>
        <w:div w:id="313529342">
          <w:marLeft w:val="547"/>
          <w:marRight w:val="0"/>
          <w:marTop w:val="96"/>
          <w:marBottom w:val="0"/>
          <w:divBdr>
            <w:top w:val="none" w:sz="0" w:space="0" w:color="auto"/>
            <w:left w:val="none" w:sz="0" w:space="0" w:color="auto"/>
            <w:bottom w:val="none" w:sz="0" w:space="0" w:color="auto"/>
            <w:right w:val="none" w:sz="0" w:space="0" w:color="auto"/>
          </w:divBdr>
        </w:div>
        <w:div w:id="1396124490">
          <w:marLeft w:val="547"/>
          <w:marRight w:val="0"/>
          <w:marTop w:val="96"/>
          <w:marBottom w:val="0"/>
          <w:divBdr>
            <w:top w:val="none" w:sz="0" w:space="0" w:color="auto"/>
            <w:left w:val="none" w:sz="0" w:space="0" w:color="auto"/>
            <w:bottom w:val="none" w:sz="0" w:space="0" w:color="auto"/>
            <w:right w:val="none" w:sz="0" w:space="0" w:color="auto"/>
          </w:divBdr>
        </w:div>
        <w:div w:id="1503354401">
          <w:marLeft w:val="1166"/>
          <w:marRight w:val="0"/>
          <w:marTop w:val="86"/>
          <w:marBottom w:val="0"/>
          <w:divBdr>
            <w:top w:val="none" w:sz="0" w:space="0" w:color="auto"/>
            <w:left w:val="none" w:sz="0" w:space="0" w:color="auto"/>
            <w:bottom w:val="none" w:sz="0" w:space="0" w:color="auto"/>
            <w:right w:val="none" w:sz="0" w:space="0" w:color="auto"/>
          </w:divBdr>
        </w:div>
        <w:div w:id="540753440">
          <w:marLeft w:val="1800"/>
          <w:marRight w:val="0"/>
          <w:marTop w:val="77"/>
          <w:marBottom w:val="0"/>
          <w:divBdr>
            <w:top w:val="none" w:sz="0" w:space="0" w:color="auto"/>
            <w:left w:val="none" w:sz="0" w:space="0" w:color="auto"/>
            <w:bottom w:val="none" w:sz="0" w:space="0" w:color="auto"/>
            <w:right w:val="none" w:sz="0" w:space="0" w:color="auto"/>
          </w:divBdr>
        </w:div>
        <w:div w:id="1069111743">
          <w:marLeft w:val="1800"/>
          <w:marRight w:val="0"/>
          <w:marTop w:val="77"/>
          <w:marBottom w:val="0"/>
          <w:divBdr>
            <w:top w:val="none" w:sz="0" w:space="0" w:color="auto"/>
            <w:left w:val="none" w:sz="0" w:space="0" w:color="auto"/>
            <w:bottom w:val="none" w:sz="0" w:space="0" w:color="auto"/>
            <w:right w:val="none" w:sz="0" w:space="0" w:color="auto"/>
          </w:divBdr>
        </w:div>
        <w:div w:id="904686266">
          <w:marLeft w:val="1800"/>
          <w:marRight w:val="0"/>
          <w:marTop w:val="77"/>
          <w:marBottom w:val="0"/>
          <w:divBdr>
            <w:top w:val="none" w:sz="0" w:space="0" w:color="auto"/>
            <w:left w:val="none" w:sz="0" w:space="0" w:color="auto"/>
            <w:bottom w:val="none" w:sz="0" w:space="0" w:color="auto"/>
            <w:right w:val="none" w:sz="0" w:space="0" w:color="auto"/>
          </w:divBdr>
        </w:div>
        <w:div w:id="1741947526">
          <w:marLeft w:val="1166"/>
          <w:marRight w:val="0"/>
          <w:marTop w:val="86"/>
          <w:marBottom w:val="0"/>
          <w:divBdr>
            <w:top w:val="none" w:sz="0" w:space="0" w:color="auto"/>
            <w:left w:val="none" w:sz="0" w:space="0" w:color="auto"/>
            <w:bottom w:val="none" w:sz="0" w:space="0" w:color="auto"/>
            <w:right w:val="none" w:sz="0" w:space="0" w:color="auto"/>
          </w:divBdr>
        </w:div>
        <w:div w:id="225066437">
          <w:marLeft w:val="547"/>
          <w:marRight w:val="0"/>
          <w:marTop w:val="96"/>
          <w:marBottom w:val="0"/>
          <w:divBdr>
            <w:top w:val="none" w:sz="0" w:space="0" w:color="auto"/>
            <w:left w:val="none" w:sz="0" w:space="0" w:color="auto"/>
            <w:bottom w:val="none" w:sz="0" w:space="0" w:color="auto"/>
            <w:right w:val="none" w:sz="0" w:space="0" w:color="auto"/>
          </w:divBdr>
        </w:div>
      </w:divsChild>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8347343">
      <w:bodyDiv w:val="1"/>
      <w:marLeft w:val="0"/>
      <w:marRight w:val="0"/>
      <w:marTop w:val="0"/>
      <w:marBottom w:val="0"/>
      <w:divBdr>
        <w:top w:val="none" w:sz="0" w:space="0" w:color="auto"/>
        <w:left w:val="none" w:sz="0" w:space="0" w:color="auto"/>
        <w:bottom w:val="none" w:sz="0" w:space="0" w:color="auto"/>
        <w:right w:val="none" w:sz="0" w:space="0" w:color="auto"/>
      </w:divBdr>
      <w:divsChild>
        <w:div w:id="1586527634">
          <w:marLeft w:val="547"/>
          <w:marRight w:val="0"/>
          <w:marTop w:val="144"/>
          <w:marBottom w:val="0"/>
          <w:divBdr>
            <w:top w:val="none" w:sz="0" w:space="0" w:color="auto"/>
            <w:left w:val="none" w:sz="0" w:space="0" w:color="auto"/>
            <w:bottom w:val="none" w:sz="0" w:space="0" w:color="auto"/>
            <w:right w:val="none" w:sz="0" w:space="0" w:color="auto"/>
          </w:divBdr>
        </w:div>
        <w:div w:id="1586374989">
          <w:marLeft w:val="547"/>
          <w:marRight w:val="0"/>
          <w:marTop w:val="144"/>
          <w:marBottom w:val="0"/>
          <w:divBdr>
            <w:top w:val="none" w:sz="0" w:space="0" w:color="auto"/>
            <w:left w:val="none" w:sz="0" w:space="0" w:color="auto"/>
            <w:bottom w:val="none" w:sz="0" w:space="0" w:color="auto"/>
            <w:right w:val="none" w:sz="0" w:space="0" w:color="auto"/>
          </w:divBdr>
        </w:div>
        <w:div w:id="1530988731">
          <w:marLeft w:val="547"/>
          <w:marRight w:val="0"/>
          <w:marTop w:val="144"/>
          <w:marBottom w:val="0"/>
          <w:divBdr>
            <w:top w:val="none" w:sz="0" w:space="0" w:color="auto"/>
            <w:left w:val="none" w:sz="0" w:space="0" w:color="auto"/>
            <w:bottom w:val="none" w:sz="0" w:space="0" w:color="auto"/>
            <w:right w:val="none" w:sz="0" w:space="0" w:color="auto"/>
          </w:divBdr>
        </w:div>
        <w:div w:id="206331842">
          <w:marLeft w:val="547"/>
          <w:marRight w:val="0"/>
          <w:marTop w:val="144"/>
          <w:marBottom w:val="0"/>
          <w:divBdr>
            <w:top w:val="none" w:sz="0" w:space="0" w:color="auto"/>
            <w:left w:val="none" w:sz="0" w:space="0" w:color="auto"/>
            <w:bottom w:val="none" w:sz="0" w:space="0" w:color="auto"/>
            <w:right w:val="none" w:sz="0" w:space="0" w:color="auto"/>
          </w:divBdr>
        </w:div>
        <w:div w:id="726104912">
          <w:marLeft w:val="547"/>
          <w:marRight w:val="0"/>
          <w:marTop w:val="144"/>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482093">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C8BD8-E09C-4BE5-886B-D98886F0D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805</Words>
  <Characters>4591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2019-10-01T15:15:00Z</dcterms:created>
  <dcterms:modified xsi:type="dcterms:W3CDTF">2020-02-13T15:17:00Z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